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90ADB" w14:textId="77777777" w:rsidR="001F515A" w:rsidRPr="001F515A" w:rsidRDefault="001F515A" w:rsidP="008878A1">
      <w:pPr>
        <w:rPr>
          <w:rFonts w:ascii="Arial" w:hAnsi="Arial"/>
          <w:b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F890B6F" wp14:editId="6F890B70">
            <wp:simplePos x="0" y="0"/>
            <wp:positionH relativeFrom="column">
              <wp:posOffset>8540115</wp:posOffset>
            </wp:positionH>
            <wp:positionV relativeFrom="page">
              <wp:posOffset>710565</wp:posOffset>
            </wp:positionV>
            <wp:extent cx="885825" cy="1143000"/>
            <wp:effectExtent l="0" t="0" r="9525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15A">
        <w:rPr>
          <w:rFonts w:ascii="Verdana" w:hAnsi="Verdana"/>
          <w:sz w:val="20"/>
          <w:szCs w:val="20"/>
          <w:lang w:eastAsia="en-US"/>
        </w:rPr>
        <w:object w:dxaOrig="3165" w:dyaOrig="2340" w14:anchorId="6F890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97pt" o:ole="">
            <v:imagedata r:id="rId12" o:title=""/>
          </v:shape>
          <o:OLEObject Type="Embed" ProgID="Imaging.Document" ShapeID="_x0000_i1025" DrawAspect="Content" ObjectID="_1713599051" r:id="rId13"/>
        </w:object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  <w:r w:rsidRPr="001F515A">
        <w:rPr>
          <w:rFonts w:ascii="Verdana" w:hAnsi="Verdana"/>
          <w:sz w:val="20"/>
          <w:szCs w:val="20"/>
          <w:lang w:eastAsia="en-US"/>
        </w:rPr>
        <w:tab/>
      </w:r>
    </w:p>
    <w:p w14:paraId="6F890ADC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Form to be used for the Full Equalities Impact Assessment</w:t>
      </w:r>
    </w:p>
    <w:p w14:paraId="6F890ADD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08"/>
        <w:gridCol w:w="610"/>
        <w:gridCol w:w="851"/>
        <w:gridCol w:w="850"/>
        <w:gridCol w:w="1109"/>
        <w:gridCol w:w="720"/>
        <w:gridCol w:w="1715"/>
        <w:gridCol w:w="745"/>
        <w:gridCol w:w="1098"/>
        <w:gridCol w:w="1701"/>
        <w:gridCol w:w="2409"/>
        <w:gridCol w:w="1418"/>
      </w:tblGrid>
      <w:tr w:rsidR="0068274C" w:rsidRPr="001F515A" w14:paraId="6F890AEC" w14:textId="77777777" w:rsidTr="00ED20C9">
        <w:tc>
          <w:tcPr>
            <w:tcW w:w="1908" w:type="dxa"/>
          </w:tcPr>
          <w:p w14:paraId="24B49367" w14:textId="77777777" w:rsidR="0068274C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Service Area:</w:t>
            </w:r>
          </w:p>
          <w:p w14:paraId="3E87A1A6" w14:textId="77777777" w:rsidR="0068274C" w:rsidRPr="003066A7" w:rsidRDefault="0068274C" w:rsidP="0068274C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Regeneration and Economy</w:t>
            </w:r>
          </w:p>
          <w:p w14:paraId="6F890ADF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610" w:type="dxa"/>
          </w:tcPr>
          <w:p w14:paraId="6F890AE0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74512D40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Section:</w:t>
            </w:r>
          </w:p>
          <w:p w14:paraId="6941E92F" w14:textId="77777777" w:rsidR="0068274C" w:rsidRPr="003066A7" w:rsidRDefault="0068274C" w:rsidP="0068274C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3066A7">
              <w:rPr>
                <w:rFonts w:ascii="Arial" w:hAnsi="Arial" w:cs="Arial"/>
                <w:bCs/>
                <w:szCs w:val="20"/>
                <w:lang w:eastAsia="en-US"/>
              </w:rPr>
              <w:t>Economic Development</w:t>
            </w:r>
          </w:p>
          <w:p w14:paraId="6F890AE3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1829" w:type="dxa"/>
            <w:gridSpan w:val="2"/>
          </w:tcPr>
          <w:p w14:paraId="209B9082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of Initial assessment:</w:t>
            </w:r>
          </w:p>
          <w:p w14:paraId="6F890AE5" w14:textId="0B039C4D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February 2022</w:t>
            </w:r>
          </w:p>
        </w:tc>
        <w:tc>
          <w:tcPr>
            <w:tcW w:w="3558" w:type="dxa"/>
            <w:gridSpan w:val="3"/>
          </w:tcPr>
          <w:p w14:paraId="248FFDFB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 xml:space="preserve">Key Person responsible for assessment: </w:t>
            </w:r>
          </w:p>
          <w:p w14:paraId="430F4F04" w14:textId="77777777" w:rsidR="0068274C" w:rsidRPr="003066A7" w:rsidRDefault="0068274C" w:rsidP="0068274C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Matt Peachey</w:t>
            </w:r>
          </w:p>
          <w:p w14:paraId="6F890AE8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  <w:tc>
          <w:tcPr>
            <w:tcW w:w="5528" w:type="dxa"/>
            <w:gridSpan w:val="3"/>
          </w:tcPr>
          <w:p w14:paraId="3D571536" w14:textId="77777777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Date assessment commenced:</w:t>
            </w:r>
          </w:p>
          <w:p w14:paraId="50D57A67" w14:textId="77777777" w:rsidR="0068274C" w:rsidRPr="003066A7" w:rsidRDefault="0068274C" w:rsidP="0068274C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Cs w:val="20"/>
                <w:lang w:eastAsia="en-US"/>
              </w:rPr>
              <w:t>10 March 2022</w:t>
            </w:r>
          </w:p>
          <w:p w14:paraId="6F890AEB" w14:textId="77777777" w:rsidR="0068274C" w:rsidRPr="001F515A" w:rsidRDefault="0068274C" w:rsidP="0068274C">
            <w:pPr>
              <w:ind w:left="360"/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</w:p>
        </w:tc>
      </w:tr>
      <w:tr w:rsidR="0068274C" w:rsidRPr="001F515A" w14:paraId="6F890AEF" w14:textId="77777777" w:rsidTr="00ED20C9">
        <w:tc>
          <w:tcPr>
            <w:tcW w:w="4219" w:type="dxa"/>
            <w:gridSpan w:val="4"/>
          </w:tcPr>
          <w:p w14:paraId="6F890AED" w14:textId="42A524D6" w:rsidR="0068274C" w:rsidRPr="00ED20C9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Name of Policy to be assessed:</w:t>
            </w:r>
          </w:p>
        </w:tc>
        <w:tc>
          <w:tcPr>
            <w:tcW w:w="10915" w:type="dxa"/>
            <w:gridSpan w:val="8"/>
          </w:tcPr>
          <w:p w14:paraId="6F890AEE" w14:textId="3E0FE5C5" w:rsidR="0068274C" w:rsidRPr="0054009D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Oxford City Centre Action Plan</w:t>
            </w:r>
          </w:p>
        </w:tc>
      </w:tr>
      <w:tr w:rsidR="0068274C" w:rsidRPr="001F515A" w14:paraId="6F890AF4" w14:textId="77777777" w:rsidTr="00ED20C9">
        <w:trPr>
          <w:trHeight w:val="96"/>
        </w:trPr>
        <w:tc>
          <w:tcPr>
            <w:tcW w:w="4219" w:type="dxa"/>
            <w:gridSpan w:val="4"/>
            <w:vMerge w:val="restart"/>
          </w:tcPr>
          <w:p w14:paraId="6F890AF0" w14:textId="15717418" w:rsidR="0068274C" w:rsidRPr="001F515A" w:rsidRDefault="0068274C" w:rsidP="0068274C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1. In what area are there concerns that the policy could have a differential impact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AF1" w14:textId="011F89E9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Race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AF2" w14:textId="6DC7CD49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Disability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890AF3" w14:textId="26453068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 xml:space="preserve">Age </w:t>
            </w:r>
          </w:p>
        </w:tc>
      </w:tr>
      <w:tr w:rsidR="0068274C" w:rsidRPr="001F515A" w14:paraId="6F890AF9" w14:textId="77777777" w:rsidTr="00ED20C9">
        <w:tc>
          <w:tcPr>
            <w:tcW w:w="4219" w:type="dxa"/>
            <w:gridSpan w:val="4"/>
            <w:vMerge/>
          </w:tcPr>
          <w:p w14:paraId="6F890AF5" w14:textId="77777777" w:rsidR="0068274C" w:rsidRPr="001F515A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F890AF6" w14:textId="1C6B174F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Gender reassignment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AF7" w14:textId="2280CA64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Religion or  Belief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890AF8" w14:textId="738BB0F6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Sexual Orientation</w:t>
            </w:r>
          </w:p>
        </w:tc>
      </w:tr>
      <w:tr w:rsidR="0068274C" w:rsidRPr="001F515A" w14:paraId="6F890AFE" w14:textId="77777777" w:rsidTr="00ED20C9">
        <w:tc>
          <w:tcPr>
            <w:tcW w:w="4219" w:type="dxa"/>
            <w:gridSpan w:val="4"/>
            <w:vMerge/>
          </w:tcPr>
          <w:p w14:paraId="6F890AFA" w14:textId="77777777" w:rsidR="0068274C" w:rsidRPr="001F515A" w:rsidRDefault="0068274C" w:rsidP="0068274C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14:paraId="6F890AFB" w14:textId="0A2FE872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Sex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AFC" w14:textId="571CE66C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Pregnancy and Maternity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890AFD" w14:textId="191A4975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Marriage &amp; Civil Partnership</w:t>
            </w:r>
          </w:p>
        </w:tc>
      </w:tr>
      <w:tr w:rsidR="0068274C" w:rsidRPr="001F515A" w14:paraId="6F890B03" w14:textId="77777777" w:rsidTr="00ED20C9">
        <w:tc>
          <w:tcPr>
            <w:tcW w:w="4219" w:type="dxa"/>
            <w:gridSpan w:val="4"/>
          </w:tcPr>
          <w:p w14:paraId="6F890AFF" w14:textId="07AEA0E4" w:rsidR="0068274C" w:rsidRPr="001F515A" w:rsidRDefault="0068274C" w:rsidP="0068274C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Other strategic/ equalities considerations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B00" w14:textId="4687EE67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Safeguarding/ Welfare of Children and vulnerable adults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F890B01" w14:textId="73052B45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iCs/>
                <w:szCs w:val="20"/>
                <w:lang w:eastAsia="en-US"/>
              </w:rPr>
              <w:t>Mental Wellbeing/ Community Resilience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890B02" w14:textId="77777777" w:rsidR="0068274C" w:rsidRPr="0068274C" w:rsidRDefault="0068274C" w:rsidP="0068274C">
            <w:pPr>
              <w:jc w:val="center"/>
              <w:rPr>
                <w:rFonts w:ascii="Arial" w:hAnsi="Arial" w:cs="Arial"/>
                <w:iCs/>
                <w:szCs w:val="20"/>
                <w:lang w:eastAsia="en-US"/>
              </w:rPr>
            </w:pPr>
          </w:p>
        </w:tc>
      </w:tr>
      <w:tr w:rsidR="0068274C" w:rsidRPr="001F515A" w14:paraId="6F890B09" w14:textId="77777777" w:rsidTr="00ED20C9">
        <w:tc>
          <w:tcPr>
            <w:tcW w:w="4219" w:type="dxa"/>
            <w:gridSpan w:val="4"/>
          </w:tcPr>
          <w:p w14:paraId="2859E171" w14:textId="77777777" w:rsidR="0068274C" w:rsidRPr="001F515A" w:rsidRDefault="0068274C" w:rsidP="0068274C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2. Background:</w:t>
            </w:r>
          </w:p>
          <w:p w14:paraId="1B2A6AC5" w14:textId="77777777" w:rsidR="0068274C" w:rsidRPr="001F515A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454EBC51" w14:textId="77777777" w:rsidR="0068274C" w:rsidRPr="001F515A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Give the background information to the policy and the perceived problems with the policy which are the reason for the Impact Assessment.</w:t>
            </w:r>
          </w:p>
          <w:p w14:paraId="6F890B07" w14:textId="77777777" w:rsidR="0068274C" w:rsidRPr="001F515A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789B4477" w14:textId="5FEE8F1B" w:rsidR="0068274C" w:rsidRDefault="0068274C" w:rsidP="006827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Oxford’s Economic Strategy Consultation Draft has been developed in line with the objectives of the Corporate Strategy (2020-2024) and, in particular, the Enabling an Inclusive Economy priority, alongside the Oxford Local Plan, Oxfordshire Economic Recovery Plan and Oxfordshire Industrial Strategy. </w:t>
            </w:r>
          </w:p>
          <w:p w14:paraId="7C138B3A" w14:textId="77777777" w:rsidR="0068274C" w:rsidRDefault="0068274C" w:rsidP="006827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</w:p>
          <w:p w14:paraId="6F890B08" w14:textId="1A5BC066" w:rsidR="0068274C" w:rsidRPr="0006524C" w:rsidRDefault="0068274C" w:rsidP="0068274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City Council has taken the lead in preparing the OES, alongside the Oxford Economic Growth Board. It</w:t>
            </w:r>
            <w:r w:rsidRPr="0016457E">
              <w:rPr>
                <w:rFonts w:ascii="Arial" w:hAnsi="Arial" w:cs="Arial"/>
                <w:szCs w:val="20"/>
                <w:lang w:eastAsia="en-US"/>
              </w:rPr>
              <w:t xml:space="preserve"> is intended to be a stakeholder owned </w:t>
            </w:r>
            <w:r>
              <w:rPr>
                <w:rFonts w:ascii="Arial" w:hAnsi="Arial" w:cs="Arial"/>
                <w:szCs w:val="20"/>
                <w:lang w:eastAsia="en-US"/>
              </w:rPr>
              <w:t>strategy and delivery plan</w:t>
            </w:r>
            <w:r w:rsidRPr="0016457E">
              <w:rPr>
                <w:rFonts w:ascii="Arial" w:hAnsi="Arial" w:cs="Arial"/>
                <w:szCs w:val="20"/>
                <w:lang w:eastAsia="en-US"/>
              </w:rPr>
              <w:t>, which will gui</w:t>
            </w:r>
            <w:r>
              <w:rPr>
                <w:rFonts w:ascii="Arial" w:hAnsi="Arial" w:cs="Arial"/>
                <w:szCs w:val="20"/>
                <w:lang w:eastAsia="en-US"/>
              </w:rPr>
              <w:t>de a partnership approach to local Economic Development</w:t>
            </w:r>
            <w:r w:rsidRPr="0016457E">
              <w:rPr>
                <w:rFonts w:ascii="Arial" w:hAnsi="Arial" w:cs="Arial"/>
                <w:szCs w:val="20"/>
                <w:lang w:eastAsia="en-US"/>
              </w:rPr>
              <w:t xml:space="preserve">. It is acknowledged that the </w:t>
            </w:r>
            <w:r>
              <w:rPr>
                <w:rFonts w:ascii="Arial" w:hAnsi="Arial" w:cs="Arial"/>
                <w:szCs w:val="20"/>
                <w:lang w:eastAsia="en-US"/>
              </w:rPr>
              <w:t>OES</w:t>
            </w:r>
            <w:r w:rsidRPr="0016457E">
              <w:rPr>
                <w:rFonts w:ascii="Arial" w:hAnsi="Arial" w:cs="Arial"/>
                <w:szCs w:val="20"/>
                <w:lang w:eastAsia="en-US"/>
              </w:rPr>
              <w:t xml:space="preserve"> cannot be delivered in isolation and seeks collaboration across stakeholders and the community.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1F515A" w:rsidRPr="001F515A" w14:paraId="6F890B0F" w14:textId="77777777" w:rsidTr="00ED20C9">
        <w:tc>
          <w:tcPr>
            <w:tcW w:w="4219" w:type="dxa"/>
            <w:gridSpan w:val="4"/>
          </w:tcPr>
          <w:p w14:paraId="6F890B0A" w14:textId="14D12722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lastRenderedPageBreak/>
              <w:t>3. Methodology and Sources of Data</w:t>
            </w: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:</w:t>
            </w:r>
          </w:p>
          <w:p w14:paraId="6F890B0B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6F890B0C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>The methods used to collect data and what sources of data</w:t>
            </w:r>
          </w:p>
          <w:p w14:paraId="6F890B0D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6F890B0E" w14:textId="7EF5B17D" w:rsidR="008878A1" w:rsidRPr="00C11DF7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Oxford City Council commissioned an external firm of consultants, and officers worked closely with them to develop the </w:t>
            </w:r>
            <w:r>
              <w:rPr>
                <w:rFonts w:ascii="Arial" w:hAnsi="Arial" w:cs="Arial"/>
                <w:szCs w:val="20"/>
                <w:lang w:eastAsia="en-US"/>
              </w:rPr>
              <w:t>OES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. The consultation methodology included </w:t>
            </w:r>
            <w:r w:rsidRPr="00856E7A">
              <w:rPr>
                <w:rFonts w:ascii="Arial" w:hAnsi="Arial"/>
                <w:color w:val="000000"/>
              </w:rPr>
              <w:t>a blend of methods, including one to one meetings, workshops, consultation events</w:t>
            </w:r>
            <w:r>
              <w:rPr>
                <w:rFonts w:ascii="Arial" w:hAnsi="Arial"/>
                <w:color w:val="000000"/>
              </w:rPr>
              <w:t xml:space="preserve"> and an on line survey</w:t>
            </w:r>
            <w:r w:rsidRPr="00856E7A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A range of economic data and evide</w:t>
            </w:r>
            <w:r w:rsidR="009A5081">
              <w:rPr>
                <w:rFonts w:ascii="Arial" w:hAnsi="Arial"/>
                <w:color w:val="000000"/>
              </w:rPr>
              <w:t>nce cover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ing socio-economic, local economic and environmental issues was used as evidence also drawing from the Oxfordshire economic Recovery Plan alongside a consultant produced evidence base.</w:t>
            </w:r>
          </w:p>
        </w:tc>
      </w:tr>
      <w:tr w:rsidR="001F515A" w:rsidRPr="001F515A" w14:paraId="6F890B19" w14:textId="77777777" w:rsidTr="00ED20C9">
        <w:tc>
          <w:tcPr>
            <w:tcW w:w="4219" w:type="dxa"/>
            <w:gridSpan w:val="4"/>
          </w:tcPr>
          <w:p w14:paraId="6F890B10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4. Consultation</w:t>
            </w:r>
          </w:p>
          <w:p w14:paraId="6F890B11" w14:textId="77777777" w:rsidR="001F515A" w:rsidRPr="001F515A" w:rsidRDefault="001F515A" w:rsidP="001F515A">
            <w:pPr>
              <w:rPr>
                <w:rFonts w:ascii="Arial" w:hAnsi="Arial" w:cs="Arial"/>
                <w:bCs/>
                <w:szCs w:val="20"/>
                <w:lang w:eastAsia="en-US"/>
              </w:rPr>
            </w:pPr>
          </w:p>
          <w:p w14:paraId="6F890B12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szCs w:val="20"/>
                <w:lang w:eastAsia="en-US"/>
              </w:rPr>
              <w:t xml:space="preserve">This section should outline all the consultation that has taken place on the EIA. It should include the following. </w:t>
            </w:r>
          </w:p>
          <w:p w14:paraId="6F890B13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Why you carried out the consultation.</w:t>
            </w:r>
          </w:p>
          <w:p w14:paraId="6F890B14" w14:textId="77777777" w:rsidR="001F515A" w:rsidRPr="001F515A" w:rsidRDefault="001F515A" w:rsidP="001F515A">
            <w:pPr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 xml:space="preserve">Details about how you went about it. </w:t>
            </w:r>
          </w:p>
          <w:p w14:paraId="6F890B15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summary of the replies you received from people you consulted.</w:t>
            </w:r>
          </w:p>
          <w:p w14:paraId="6F890B16" w14:textId="77777777" w:rsidR="001F515A" w:rsidRPr="001F515A" w:rsidRDefault="001F515A" w:rsidP="001F515A">
            <w:pPr>
              <w:ind w:left="720" w:hanging="720"/>
              <w:rPr>
                <w:rFonts w:ascii="Arial" w:hAnsi="Arial"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An assessment of your proposed policy (or policy options) in the light of the responses you received.</w:t>
            </w:r>
          </w:p>
          <w:p w14:paraId="6F890B17" w14:textId="77777777" w:rsidR="001F515A" w:rsidRPr="001F515A" w:rsidRDefault="001F515A" w:rsidP="001F515A">
            <w:pPr>
              <w:ind w:left="720" w:hanging="720"/>
              <w:rPr>
                <w:rFonts w:ascii="Arial" w:hAnsi="Arial" w:cs="Arial"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>•</w:t>
            </w:r>
            <w:r w:rsidRPr="001F515A">
              <w:rPr>
                <w:rFonts w:ascii="Arial" w:hAnsi="Arial"/>
                <w:color w:val="000000"/>
                <w:szCs w:val="20"/>
                <w:lang w:eastAsia="en-US"/>
              </w:rPr>
              <w:tab/>
            </w:r>
            <w:r w:rsidRPr="001F515A">
              <w:rPr>
                <w:rFonts w:ascii="Arial" w:hAnsi="Arial"/>
                <w:szCs w:val="20"/>
                <w:lang w:eastAsia="en-US"/>
              </w:rPr>
              <w:t>A statement of what you plan to do next</w:t>
            </w:r>
          </w:p>
        </w:tc>
        <w:tc>
          <w:tcPr>
            <w:tcW w:w="10915" w:type="dxa"/>
            <w:gridSpan w:val="8"/>
          </w:tcPr>
          <w:p w14:paraId="2890FAD4" w14:textId="25FAEB31" w:rsid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>The consultation consisted of a blend of methods, including one to one meetings, workshops,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consultation events (see table below</w:t>
            </w:r>
            <w:r w:rsidRPr="0068274C">
              <w:rPr>
                <w:rFonts w:ascii="Arial" w:hAnsi="Arial" w:cs="Arial"/>
                <w:szCs w:val="20"/>
                <w:lang w:eastAsia="en-US"/>
              </w:rPr>
              <w:t>) and a questionnaire. These were supplemented by press, opinion pieces, social media and mailshots to business databases, Residents panel and community networks. By the end of the consultation period 249 responses were received; 147 via the online portal and 102 by email. 114 people/organisational representatives were involved in events or meetings during the consultation period, with some overlap between attendees and formal respondents.</w:t>
            </w:r>
          </w:p>
          <w:p w14:paraId="261D888D" w14:textId="77777777" w:rsidR="0068274C" w:rsidRP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5CF36D42" w14:textId="6A9A9014" w:rsidR="0068274C" w:rsidRP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>OES consultation events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16"/>
            </w:tblGrid>
            <w:tr w:rsidR="0068274C" w:rsidRPr="0068274C" w14:paraId="014B7E27" w14:textId="77777777" w:rsidTr="00643D92">
              <w:tc>
                <w:tcPr>
                  <w:tcW w:w="9016" w:type="dxa"/>
                </w:tcPr>
                <w:p w14:paraId="01B35971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Oxford’s Economic Strategy Business &amp; Partner Workshop</w:t>
                  </w:r>
                </w:p>
                <w:p w14:paraId="587AFD12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14 December 2021 – 45 attendees</w:t>
                  </w:r>
                </w:p>
              </w:tc>
            </w:tr>
            <w:tr w:rsidR="0068274C" w:rsidRPr="0068274C" w14:paraId="5B9EFE1D" w14:textId="77777777" w:rsidTr="00643D92">
              <w:tc>
                <w:tcPr>
                  <w:tcW w:w="9016" w:type="dxa"/>
                </w:tcPr>
                <w:p w14:paraId="483343C8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Joint Economic Strategy and City Centre Action Plan, Business Workshop</w:t>
                  </w:r>
                </w:p>
                <w:p w14:paraId="71BC3089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12 January, 2022 – 44 attendees</w:t>
                  </w:r>
                </w:p>
              </w:tc>
            </w:tr>
            <w:tr w:rsidR="0068274C" w:rsidRPr="0068274C" w14:paraId="5CF5B5FB" w14:textId="77777777" w:rsidTr="00643D92">
              <w:tc>
                <w:tcPr>
                  <w:tcW w:w="9016" w:type="dxa"/>
                </w:tcPr>
                <w:p w14:paraId="7D879298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Inclusive Transport &amp; Movement Group</w:t>
                  </w:r>
                </w:p>
                <w:p w14:paraId="550FDF48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15</w:t>
                  </w:r>
                  <w:r w:rsidRPr="0068274C">
                    <w:rPr>
                      <w:rFonts w:ascii="Arial" w:hAnsi="Arial" w:cs="Arial"/>
                      <w:szCs w:val="20"/>
                      <w:vertAlign w:val="superscript"/>
                      <w:lang w:eastAsia="en-US"/>
                    </w:rPr>
                    <w:t>th</w:t>
                  </w: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 xml:space="preserve"> December 2021 – 14 attendees</w:t>
                  </w:r>
                </w:p>
              </w:tc>
            </w:tr>
            <w:tr w:rsidR="0068274C" w:rsidRPr="0068274C" w14:paraId="6942A838" w14:textId="77777777" w:rsidTr="00643D92">
              <w:tc>
                <w:tcPr>
                  <w:tcW w:w="9016" w:type="dxa"/>
                </w:tcPr>
                <w:p w14:paraId="59533C71" w14:textId="77777777" w:rsidR="0068274C" w:rsidRPr="0068274C" w:rsidRDefault="0068274C" w:rsidP="0068274C">
                  <w:pPr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 w:rsidRPr="0068274C">
                    <w:rPr>
                      <w:rFonts w:ascii="Arial" w:hAnsi="Arial" w:cs="Arial"/>
                      <w:szCs w:val="20"/>
                      <w:lang w:eastAsia="en-US"/>
                    </w:rPr>
                    <w:t>One to One meetings with stakeholders – 11 meetings</w:t>
                  </w:r>
                </w:p>
              </w:tc>
            </w:tr>
          </w:tbl>
          <w:p w14:paraId="3D3C5F22" w14:textId="77777777" w:rsidR="0068274C" w:rsidRP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F890B18" w14:textId="10E28A56" w:rsidR="009F00B3" w:rsidRPr="0006524C" w:rsidRDefault="0068274C" w:rsidP="000652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The appended Consultation Report (Appendix 2) summarises the findings, themes and next steps.</w:t>
            </w:r>
          </w:p>
        </w:tc>
      </w:tr>
      <w:tr w:rsidR="001F515A" w:rsidRPr="001F515A" w14:paraId="6F890B3E" w14:textId="77777777" w:rsidTr="00944A56">
        <w:trPr>
          <w:trHeight w:val="8175"/>
        </w:trPr>
        <w:tc>
          <w:tcPr>
            <w:tcW w:w="4219" w:type="dxa"/>
            <w:gridSpan w:val="4"/>
          </w:tcPr>
          <w:p w14:paraId="6F890B1A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5. Assessment of Impact:</w:t>
            </w:r>
          </w:p>
          <w:p w14:paraId="6F890B1B" w14:textId="77777777" w:rsidR="001F515A" w:rsidRPr="001F515A" w:rsidRDefault="001F515A" w:rsidP="001F515A">
            <w:pPr>
              <w:rPr>
                <w:rFonts w:ascii="Arial" w:hAnsi="Arial" w:cs="Arial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Provide details of the assessment of the policy on the six primary equality strands. There may have been other groups or individuals that you considered. Please also </w:t>
            </w:r>
            <w:r w:rsidRPr="001F515A">
              <w:rPr>
                <w:rFonts w:ascii="Arial" w:hAnsi="Arial" w:cs="Arial"/>
                <w:lang w:eastAsia="en-US"/>
              </w:rPr>
              <w:t>consider whether the policy, strategy or spending decisions could have an impact on safeguarding and / or the welfare of children and vulnerable adults</w:t>
            </w:r>
          </w:p>
          <w:p w14:paraId="6F890B1C" w14:textId="77777777" w:rsidR="001F515A" w:rsidRPr="001F515A" w:rsidRDefault="001F515A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6F890B1D" w14:textId="77777777" w:rsidR="007070ED" w:rsidRPr="0006524C" w:rsidRDefault="007070ED" w:rsidP="00262814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  <w:p w14:paraId="6F890B1E" w14:textId="77777777" w:rsidR="007070ED" w:rsidRDefault="007070ED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944A56" w14:paraId="6F890B22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1F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Race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20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Disability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6F890B21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Age</w:t>
                  </w:r>
                </w:p>
              </w:tc>
            </w:tr>
            <w:tr w:rsidR="00944A56" w14:paraId="6F890B26" w14:textId="77777777" w:rsidTr="00944A56">
              <w:trPr>
                <w:trHeight w:val="923"/>
              </w:trPr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2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24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6F890B25" w14:textId="77777777" w:rsidR="00944A56" w:rsidRPr="00944A56" w:rsidRDefault="0006524C" w:rsidP="0006524C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6F890B2A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27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Gender reassignment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28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Religion or  Belief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6F890B29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Sexual Orientation</w:t>
                  </w:r>
                </w:p>
              </w:tc>
            </w:tr>
            <w:tr w:rsidR="00944A56" w14:paraId="6F890B2E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2B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2C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6F890B2D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  <w:tr w:rsidR="00944A56" w14:paraId="6F890B32" w14:textId="77777777" w:rsidTr="00944A56"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2F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Sex</w:t>
                  </w:r>
                </w:p>
              </w:tc>
              <w:tc>
                <w:tcPr>
                  <w:tcW w:w="3561" w:type="dxa"/>
                  <w:tcBorders>
                    <w:top w:val="single" w:sz="4" w:space="0" w:color="auto"/>
                  </w:tcBorders>
                </w:tcPr>
                <w:p w14:paraId="6F890B30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Pregnancy and Maternity</w:t>
                  </w:r>
                </w:p>
              </w:tc>
              <w:tc>
                <w:tcPr>
                  <w:tcW w:w="3562" w:type="dxa"/>
                  <w:tcBorders>
                    <w:top w:val="single" w:sz="4" w:space="0" w:color="auto"/>
                  </w:tcBorders>
                </w:tcPr>
                <w:p w14:paraId="6F890B31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b/>
                      <w:szCs w:val="20"/>
                      <w:lang w:eastAsia="en-US"/>
                    </w:rPr>
                  </w:pPr>
                  <w:r w:rsidRPr="00944A56">
                    <w:rPr>
                      <w:rFonts w:ascii="Arial" w:hAnsi="Arial" w:cs="Arial"/>
                      <w:b/>
                      <w:iCs/>
                      <w:szCs w:val="20"/>
                      <w:lang w:eastAsia="en-US"/>
                    </w:rPr>
                    <w:t>Marriage &amp; Civil Partnership</w:t>
                  </w:r>
                </w:p>
              </w:tc>
            </w:tr>
            <w:tr w:rsidR="00944A56" w14:paraId="6F890B36" w14:textId="77777777" w:rsidTr="00944A56"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33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1" w:type="dxa"/>
                  <w:tcBorders>
                    <w:bottom w:val="single" w:sz="4" w:space="0" w:color="auto"/>
                  </w:tcBorders>
                </w:tcPr>
                <w:p w14:paraId="6F890B34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  <w:tc>
                <w:tcPr>
                  <w:tcW w:w="3562" w:type="dxa"/>
                  <w:tcBorders>
                    <w:bottom w:val="single" w:sz="4" w:space="0" w:color="auto"/>
                  </w:tcBorders>
                </w:tcPr>
                <w:p w14:paraId="6F890B35" w14:textId="77777777" w:rsidR="00944A56" w:rsidRPr="00944A56" w:rsidRDefault="00944A56" w:rsidP="00944A56">
                  <w:pPr>
                    <w:jc w:val="center"/>
                    <w:rPr>
                      <w:rFonts w:ascii="Arial" w:hAnsi="Arial" w:cs="Arial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iCs/>
                      <w:szCs w:val="20"/>
                      <w:lang w:eastAsia="en-US"/>
                    </w:rPr>
                    <w:t>Neutral</w:t>
                  </w:r>
                </w:p>
              </w:tc>
            </w:tr>
          </w:tbl>
          <w:p w14:paraId="6F890B37" w14:textId="77777777" w:rsidR="00262814" w:rsidRDefault="00262814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4C7BD4B9" w14:textId="0737667B" w:rsidR="0068274C" w:rsidRP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In future, w</w:t>
            </w:r>
            <w:r w:rsidRPr="0068274C">
              <w:rPr>
                <w:rFonts w:ascii="Arial" w:hAnsi="Arial" w:cs="Arial"/>
                <w:szCs w:val="20"/>
                <w:lang w:eastAsia="en-US"/>
              </w:rPr>
              <w:t>here Consultation is undertaken during the delivery of the strategy, a focus on targeting responses from the following cohorts would be recommended given the low response rates for these groups:</w:t>
            </w:r>
          </w:p>
          <w:p w14:paraId="459C94F3" w14:textId="77777777" w:rsidR="0068274C" w:rsidRPr="0068274C" w:rsidRDefault="0068274C" w:rsidP="0068274C">
            <w:pPr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>young 16-24 years cohorts</w:t>
            </w:r>
          </w:p>
          <w:p w14:paraId="230AFCA8" w14:textId="77777777" w:rsidR="0068274C" w:rsidRPr="0068274C" w:rsidRDefault="0068274C" w:rsidP="0068274C">
            <w:pPr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>non-white ethnicity cohorts</w:t>
            </w:r>
          </w:p>
          <w:p w14:paraId="778B6C5B" w14:textId="77777777" w:rsidR="0068274C" w:rsidRPr="0068274C" w:rsidRDefault="0068274C" w:rsidP="0068274C">
            <w:pPr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>as well as further resident engagement in project and initiative development</w:t>
            </w:r>
          </w:p>
          <w:p w14:paraId="32727007" w14:textId="77777777" w:rsidR="00E30FBF" w:rsidRDefault="00E30FBF" w:rsidP="0068274C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3AC8C928" w14:textId="77777777" w:rsidR="0068274C" w:rsidRPr="0068274C" w:rsidRDefault="0068274C" w:rsidP="0068274C">
            <w:pPr>
              <w:rPr>
                <w:rFonts w:ascii="Arial" w:hAnsi="Arial" w:cs="Arial"/>
                <w:szCs w:val="20"/>
                <w:lang w:eastAsia="en-US"/>
              </w:rPr>
            </w:pPr>
            <w:r w:rsidRPr="0068274C">
              <w:rPr>
                <w:rFonts w:ascii="Arial" w:hAnsi="Arial" w:cs="Arial"/>
                <w:szCs w:val="20"/>
                <w:lang w:eastAsia="en-US"/>
              </w:rPr>
              <w:t xml:space="preserve">More face to face events or forums would also enhance the opportunity to respond for many groups, especially the digitally excluded, those speaking English as a second language and those facing other barriers to completing written or online responses. </w:t>
            </w:r>
          </w:p>
          <w:p w14:paraId="6F890B39" w14:textId="77777777" w:rsidR="00142786" w:rsidRDefault="00142786" w:rsidP="00262814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54AC6AF6" w14:textId="5D9AE1A6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>No issues relating to safeguarding and/or welfare of children and vulnerable adults were identified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at this point, although these should be considered for any bespoke new initiatives or projects that follow from the strategy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.</w:t>
            </w:r>
          </w:p>
          <w:p w14:paraId="7590305D" w14:textId="77777777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F890B3D" w14:textId="4417800C" w:rsidR="00041903" w:rsidRPr="001F515A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Some outcomes from the implementation of projects identified in the 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Oxford Economic Strategy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could have a positive impact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across all groups under the Inclusive Economy Pillar. The impact on equalities requirements will be monitored on an annual basis.</w:t>
            </w:r>
          </w:p>
        </w:tc>
      </w:tr>
      <w:tr w:rsidR="001F515A" w:rsidRPr="001F515A" w14:paraId="6F890B46" w14:textId="77777777" w:rsidTr="00ED20C9">
        <w:tc>
          <w:tcPr>
            <w:tcW w:w="4219" w:type="dxa"/>
            <w:gridSpan w:val="4"/>
          </w:tcPr>
          <w:p w14:paraId="6F890B3F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lastRenderedPageBreak/>
              <w:t>6. Consideration of Measures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6F890B40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F890B4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This section should explain in detail all the consideration of alternative approaches/mitigation of adverse impact of the policy</w:t>
            </w:r>
          </w:p>
          <w:p w14:paraId="6F890B42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10915" w:type="dxa"/>
            <w:gridSpan w:val="8"/>
          </w:tcPr>
          <w:p w14:paraId="7FBEFB71" w14:textId="4FB603F5" w:rsid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Within the proposed delivery structure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and annual monitoring report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the following representations will be sought:</w:t>
            </w:r>
          </w:p>
          <w:p w14:paraId="5CC11509" w14:textId="77777777" w:rsid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70E424B6" w14:textId="77777777" w:rsidR="00E30FBF" w:rsidRPr="00E30FBF" w:rsidRDefault="00E30FBF" w:rsidP="00E30FBF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30FBF">
              <w:rPr>
                <w:szCs w:val="20"/>
              </w:rPr>
              <w:t>young 16-24 years cohorts</w:t>
            </w:r>
          </w:p>
          <w:p w14:paraId="7B616063" w14:textId="77777777" w:rsidR="00E30FBF" w:rsidRPr="00E30FBF" w:rsidRDefault="00E30FBF" w:rsidP="00E30FBF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E30FBF">
              <w:rPr>
                <w:szCs w:val="20"/>
              </w:rPr>
              <w:t>non-white ethnicity cohorts</w:t>
            </w:r>
          </w:p>
          <w:p w14:paraId="61BBA2FC" w14:textId="14C2BC14" w:rsidR="00E30FBF" w:rsidRPr="00E30FBF" w:rsidRDefault="00E30FBF" w:rsidP="00E30FBF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proofErr w:type="gramStart"/>
            <w:r w:rsidRPr="00E30FBF">
              <w:rPr>
                <w:szCs w:val="20"/>
              </w:rPr>
              <w:t>as</w:t>
            </w:r>
            <w:proofErr w:type="gramEnd"/>
            <w:r w:rsidRPr="00E30FBF">
              <w:rPr>
                <w:szCs w:val="20"/>
              </w:rPr>
              <w:t xml:space="preserve"> well as further resident engagement in project and initiative development</w:t>
            </w:r>
            <w:r>
              <w:rPr>
                <w:szCs w:val="20"/>
              </w:rPr>
              <w:t>.</w:t>
            </w:r>
          </w:p>
          <w:p w14:paraId="6F890B45" w14:textId="6B7E1214" w:rsidR="003C118C" w:rsidRPr="001F515A" w:rsidRDefault="003C118C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3C118C">
              <w:rPr>
                <w:rFonts w:ascii="Arial" w:hAnsi="Arial" w:cs="Arial"/>
                <w:szCs w:val="20"/>
                <w:lang w:eastAsia="en-US"/>
              </w:rPr>
              <w:br/>
            </w:r>
          </w:p>
        </w:tc>
      </w:tr>
      <w:tr w:rsidR="001F515A" w:rsidRPr="001F515A" w14:paraId="6F890B4C" w14:textId="77777777" w:rsidTr="00ED20C9">
        <w:trPr>
          <w:trHeight w:val="359"/>
        </w:trPr>
        <w:tc>
          <w:tcPr>
            <w:tcW w:w="4219" w:type="dxa"/>
            <w:gridSpan w:val="4"/>
          </w:tcPr>
          <w:p w14:paraId="6F890B47" w14:textId="77777777" w:rsidR="001F515A" w:rsidRPr="001F515A" w:rsidRDefault="001F515A" w:rsidP="001F515A">
            <w:pPr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napToGrid w:val="0"/>
                <w:color w:val="000000"/>
                <w:szCs w:val="20"/>
                <w:lang w:eastAsia="en-US"/>
              </w:rPr>
              <w:t>6a. Monitoring Arrangements:</w:t>
            </w:r>
          </w:p>
          <w:p w14:paraId="6F890B48" w14:textId="77777777" w:rsidR="001F515A" w:rsidRPr="001F515A" w:rsidRDefault="001F515A" w:rsidP="001F515A">
            <w:pPr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</w:pPr>
          </w:p>
          <w:p w14:paraId="6F890B49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napToGrid w:val="0"/>
                <w:color w:val="000000"/>
                <w:szCs w:val="20"/>
                <w:lang w:eastAsia="en-US"/>
              </w:rPr>
              <w:t xml:space="preserve">Outline systems which will be put in place to monitor for adverse impact in the future and this should include all relevant timetables. In addition it could include a 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 xml:space="preserve">summary and assessment of your monitoring, making clear whether you found any evidence of discrimination. </w:t>
            </w:r>
          </w:p>
        </w:tc>
        <w:tc>
          <w:tcPr>
            <w:tcW w:w="10915" w:type="dxa"/>
            <w:gridSpan w:val="8"/>
          </w:tcPr>
          <w:p w14:paraId="6F890B4A" w14:textId="77777777" w:rsidR="009F00B3" w:rsidRPr="001F515A" w:rsidRDefault="009F00B3" w:rsidP="001F515A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  <w:p w14:paraId="56F57CB9" w14:textId="6726AB78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There are regular meetings established and the </w:t>
            </w:r>
            <w:r>
              <w:rPr>
                <w:rFonts w:ascii="Arial" w:hAnsi="Arial" w:cs="Arial"/>
                <w:szCs w:val="20"/>
                <w:lang w:eastAsia="en-US"/>
              </w:rPr>
              <w:t>OES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 will be discussed at those meetings:</w:t>
            </w:r>
          </w:p>
          <w:p w14:paraId="22BEA5DE" w14:textId="06B82923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>•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Cs w:val="20"/>
                <w:lang w:eastAsia="en-US"/>
              </w:rPr>
              <w:t xml:space="preserve">Oxford Economic Growth Board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Inclusive Transport and Movement Group</w:t>
            </w:r>
          </w:p>
          <w:p w14:paraId="06EDF544" w14:textId="77777777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>•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ab/>
              <w:t>Inclusive Economy Partnership work</w:t>
            </w:r>
          </w:p>
          <w:p w14:paraId="71E6ED58" w14:textId="77777777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F890B4B" w14:textId="10303E5D" w:rsidR="001F515A" w:rsidRPr="001F515A" w:rsidRDefault="00E30FBF" w:rsidP="00DD6207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The </w:t>
            </w:r>
            <w:r>
              <w:rPr>
                <w:rFonts w:ascii="Arial" w:hAnsi="Arial" w:cs="Arial"/>
                <w:szCs w:val="20"/>
                <w:lang w:eastAsia="en-US"/>
              </w:rPr>
              <w:t>City Council and EGSB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 will take responsibility for monitoring any adverse </w:t>
            </w:r>
            <w:r>
              <w:rPr>
                <w:rFonts w:ascii="Arial" w:hAnsi="Arial" w:cs="Arial"/>
                <w:szCs w:val="20"/>
                <w:lang w:eastAsia="en-US"/>
              </w:rPr>
              <w:t>or positive impacts and resp</w:t>
            </w:r>
            <w:r w:rsidR="00DD6207">
              <w:rPr>
                <w:rFonts w:ascii="Arial" w:hAnsi="Arial" w:cs="Arial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Cs w:val="20"/>
                <w:lang w:eastAsia="en-US"/>
              </w:rPr>
              <w:t>nding a</w:t>
            </w:r>
            <w:r w:rsidR="009A5081">
              <w:rPr>
                <w:rFonts w:ascii="Arial" w:hAnsi="Arial" w:cs="Arial"/>
                <w:szCs w:val="20"/>
                <w:lang w:eastAsia="en-US"/>
              </w:rPr>
              <w:t>ccordingly to any new findings.</w:t>
            </w:r>
          </w:p>
        </w:tc>
      </w:tr>
      <w:tr w:rsidR="001F515A" w:rsidRPr="001F515A" w14:paraId="6F890B4F" w14:textId="77777777" w:rsidTr="00ED20C9">
        <w:tc>
          <w:tcPr>
            <w:tcW w:w="4219" w:type="dxa"/>
            <w:gridSpan w:val="4"/>
          </w:tcPr>
          <w:p w14:paraId="6F890B4D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7. Date reported and signed off by City Executive Board: </w:t>
            </w:r>
          </w:p>
        </w:tc>
        <w:tc>
          <w:tcPr>
            <w:tcW w:w="10915" w:type="dxa"/>
            <w:gridSpan w:val="8"/>
          </w:tcPr>
          <w:p w14:paraId="6F890B4E" w14:textId="77777777" w:rsidR="001F515A" w:rsidRPr="001F515A" w:rsidRDefault="001F515A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1F515A" w:rsidRPr="001F515A" w14:paraId="6F890B54" w14:textId="77777777" w:rsidTr="00ED20C9">
        <w:trPr>
          <w:trHeight w:val="782"/>
        </w:trPr>
        <w:tc>
          <w:tcPr>
            <w:tcW w:w="4219" w:type="dxa"/>
            <w:gridSpan w:val="4"/>
          </w:tcPr>
          <w:p w14:paraId="6F890B50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8. Conclusions</w:t>
            </w:r>
            <w:r w:rsidRPr="001F515A">
              <w:rPr>
                <w:rFonts w:ascii="Arial" w:hAnsi="Arial" w:cs="Arial"/>
                <w:szCs w:val="20"/>
                <w:lang w:eastAsia="en-US"/>
              </w:rPr>
              <w:t>:</w:t>
            </w:r>
          </w:p>
          <w:p w14:paraId="6F890B51" w14:textId="77777777" w:rsidR="001F515A" w:rsidRPr="001F515A" w:rsidRDefault="001F515A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  <w:p w14:paraId="6F890B52" w14:textId="77777777" w:rsidR="001F515A" w:rsidRPr="001F515A" w:rsidRDefault="001F515A" w:rsidP="00ED20C9">
            <w:pPr>
              <w:rPr>
                <w:rFonts w:ascii="Arial" w:hAnsi="Arial" w:cs="Arial"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t>What are your conclusions drawn from the resul</w:t>
            </w:r>
            <w:r w:rsidR="00ED20C9">
              <w:rPr>
                <w:rFonts w:ascii="Arial" w:hAnsi="Arial" w:cs="Arial"/>
                <w:szCs w:val="20"/>
                <w:lang w:eastAsia="en-US"/>
              </w:rPr>
              <w:t>ts in terms of the policy impact</w:t>
            </w:r>
          </w:p>
        </w:tc>
        <w:tc>
          <w:tcPr>
            <w:tcW w:w="10915" w:type="dxa"/>
            <w:gridSpan w:val="8"/>
          </w:tcPr>
          <w:p w14:paraId="0B4CB552" w14:textId="4682EDC5" w:rsidR="00E30FBF" w:rsidRPr="00E30FBF" w:rsidRDefault="00E30FBF" w:rsidP="00E30FBF">
            <w:pPr>
              <w:rPr>
                <w:rFonts w:ascii="Arial" w:hAnsi="Arial" w:cs="Arial"/>
                <w:szCs w:val="20"/>
                <w:lang w:eastAsia="en-US"/>
              </w:rPr>
            </w:pPr>
            <w:r w:rsidRPr="00E30FBF">
              <w:rPr>
                <w:rFonts w:ascii="Arial" w:hAnsi="Arial" w:cs="Arial"/>
                <w:szCs w:val="20"/>
                <w:lang w:eastAsia="en-US"/>
              </w:rPr>
              <w:t>Whilst Oxford has a strong economy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,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the benefits of this are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not shared equally. In a city with huge</w:t>
            </w:r>
          </w:p>
          <w:p w14:paraId="6F890B53" w14:textId="221A9C29" w:rsidR="003C118C" w:rsidRPr="001F515A" w:rsidRDefault="00E30FBF" w:rsidP="009A5081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proofErr w:type="gramStart"/>
            <w:r w:rsidRPr="00E30FBF">
              <w:rPr>
                <w:rFonts w:ascii="Arial" w:hAnsi="Arial" w:cs="Arial"/>
                <w:szCs w:val="20"/>
                <w:lang w:eastAsia="en-US"/>
              </w:rPr>
              <w:t>potential</w:t>
            </w:r>
            <w:proofErr w:type="gramEnd"/>
            <w:r w:rsidRPr="00E30FBF">
              <w:rPr>
                <w:rFonts w:ascii="Arial" w:hAnsi="Arial" w:cs="Arial"/>
                <w:szCs w:val="20"/>
                <w:lang w:eastAsia="en-US"/>
              </w:rPr>
              <w:t>, where medical and technology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breakthroughs are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commonplace,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too many residents struggle to make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Cs w:val="20"/>
                <w:lang w:eastAsia="en-US"/>
              </w:rPr>
              <w:t>nds meet or participate in the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 local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>economy. Addressing this and enabling</w:t>
            </w:r>
            <w:r w:rsidR="009A5081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people to share in future success </w:t>
            </w:r>
            <w:r>
              <w:rPr>
                <w:rFonts w:ascii="Arial" w:hAnsi="Arial" w:cs="Arial"/>
                <w:szCs w:val="20"/>
                <w:lang w:eastAsia="en-US"/>
              </w:rPr>
              <w:t>is a top</w:t>
            </w:r>
            <w:r w:rsidRPr="00E30FBF">
              <w:rPr>
                <w:rFonts w:ascii="Arial" w:hAnsi="Arial" w:cs="Arial"/>
                <w:szCs w:val="20"/>
                <w:lang w:eastAsia="en-US"/>
              </w:rPr>
              <w:t xml:space="preserve"> priority of this strategy.</w:t>
            </w:r>
            <w:r>
              <w:rPr>
                <w:rFonts w:ascii="Arial" w:hAnsi="Arial" w:cs="Arial"/>
                <w:szCs w:val="20"/>
                <w:lang w:eastAsia="en-US"/>
              </w:rPr>
              <w:t xml:space="preserve"> Ten Guiding Principles are presented in the OES to support a fairer, more inclusive economy. Delivery against this principles, with clear consideration of equalities impacts will be monitored and reported annually.</w:t>
            </w:r>
          </w:p>
        </w:tc>
      </w:tr>
      <w:tr w:rsidR="00ED20C9" w:rsidRPr="001F515A" w14:paraId="6F890B5C" w14:textId="77777777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14:paraId="6F890B55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9. Are there implications for the Service Plans? </w:t>
            </w:r>
          </w:p>
        </w:tc>
        <w:tc>
          <w:tcPr>
            <w:tcW w:w="1959" w:type="dxa"/>
            <w:gridSpan w:val="2"/>
            <w:vAlign w:val="center"/>
          </w:tcPr>
          <w:p w14:paraId="6F890B56" w14:textId="71EC7504" w:rsidR="00ED20C9" w:rsidRPr="001F515A" w:rsidRDefault="00C04F0E" w:rsidP="001F515A">
            <w:pPr>
              <w:jc w:val="center"/>
              <w:rPr>
                <w:rFonts w:ascii="Arial" w:hAnsi="Arial" w:cs="Arial"/>
                <w:bCs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0"/>
                <w:lang w:eastAsia="en-US"/>
              </w:rPr>
              <w:t>No</w:t>
            </w:r>
          </w:p>
        </w:tc>
        <w:tc>
          <w:tcPr>
            <w:tcW w:w="3180" w:type="dxa"/>
            <w:gridSpan w:val="3"/>
            <w:vAlign w:val="center"/>
          </w:tcPr>
          <w:p w14:paraId="6F890B57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10. Date the Service Plans will be updated</w:t>
            </w:r>
          </w:p>
        </w:tc>
        <w:tc>
          <w:tcPr>
            <w:tcW w:w="2799" w:type="dxa"/>
            <w:gridSpan w:val="2"/>
            <w:vAlign w:val="center"/>
          </w:tcPr>
          <w:p w14:paraId="6F890B58" w14:textId="5116C871" w:rsidR="00ED20C9" w:rsidRPr="001F515A" w:rsidRDefault="00C04F0E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N/A</w:t>
            </w:r>
          </w:p>
        </w:tc>
        <w:tc>
          <w:tcPr>
            <w:tcW w:w="2409" w:type="dxa"/>
            <w:vAlign w:val="center"/>
          </w:tcPr>
          <w:p w14:paraId="6F890B59" w14:textId="77777777" w:rsidR="00ED20C9" w:rsidRPr="001F515A" w:rsidRDefault="00ED20C9" w:rsidP="001F515A">
            <w:pPr>
              <w:rPr>
                <w:rFonts w:ascii="Arial" w:hAnsi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/>
                <w:b/>
                <w:bCs/>
                <w:szCs w:val="20"/>
                <w:lang w:eastAsia="en-US"/>
              </w:rPr>
              <w:t>11. Date copy sent to Equal</w:t>
            </w:r>
            <w:r w:rsidR="00D40A0A">
              <w:rPr>
                <w:rFonts w:ascii="Arial" w:hAnsi="Arial"/>
                <w:b/>
                <w:bCs/>
                <w:szCs w:val="20"/>
                <w:lang w:eastAsia="en-US"/>
              </w:rPr>
              <w:t xml:space="preserve">ities Lead Officer </w:t>
            </w:r>
          </w:p>
          <w:p w14:paraId="6F890B5A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F890B5B" w14:textId="77777777" w:rsidR="00ED20C9" w:rsidRPr="001F515A" w:rsidRDefault="00ED20C9" w:rsidP="001F515A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ED20C9" w:rsidRPr="001F515A" w14:paraId="6F890B63" w14:textId="77777777" w:rsidTr="00ED20C9">
        <w:trPr>
          <w:trHeight w:val="1000"/>
        </w:trPr>
        <w:tc>
          <w:tcPr>
            <w:tcW w:w="3369" w:type="dxa"/>
            <w:gridSpan w:val="3"/>
            <w:vAlign w:val="center"/>
          </w:tcPr>
          <w:p w14:paraId="6F890B5D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szCs w:val="20"/>
                <w:lang w:eastAsia="en-US"/>
              </w:rPr>
              <w:lastRenderedPageBreak/>
              <w:t>.</w:t>
            </w:r>
            <w:r w:rsidRPr="001F515A">
              <w:rPr>
                <w:rFonts w:ascii="Arial" w:hAnsi="Arial" w:cs="Arial"/>
                <w:b/>
                <w:bCs/>
                <w:szCs w:val="20"/>
                <w:lang w:eastAsia="en-US"/>
              </w:rPr>
              <w:t>13. Date reported to Scrutiny and Executive Board:</w:t>
            </w:r>
          </w:p>
        </w:tc>
        <w:tc>
          <w:tcPr>
            <w:tcW w:w="1959" w:type="dxa"/>
            <w:gridSpan w:val="2"/>
            <w:vAlign w:val="center"/>
          </w:tcPr>
          <w:p w14:paraId="6F890B5E" w14:textId="53EFF90D" w:rsidR="00ED20C9" w:rsidRPr="001F515A" w:rsidRDefault="00C04F0E" w:rsidP="001F515A">
            <w:pPr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 w:rsidRPr="00C04F0E">
              <w:rPr>
                <w:rFonts w:ascii="Arial" w:hAnsi="Arial" w:cs="Arial"/>
                <w:szCs w:val="20"/>
                <w:lang w:eastAsia="en-US"/>
              </w:rPr>
              <w:t>June 7</w:t>
            </w:r>
            <w:r w:rsidRPr="00C04F0E">
              <w:rPr>
                <w:rFonts w:ascii="Arial" w:hAnsi="Arial" w:cs="Arial"/>
                <w:szCs w:val="20"/>
                <w:vertAlign w:val="superscript"/>
                <w:lang w:eastAsia="en-US"/>
              </w:rPr>
              <w:t>th</w:t>
            </w:r>
            <w:r w:rsidRPr="00C04F0E">
              <w:rPr>
                <w:rFonts w:ascii="Arial" w:hAnsi="Arial" w:cs="Arial"/>
                <w:szCs w:val="20"/>
                <w:lang w:eastAsia="en-US"/>
              </w:rPr>
              <w:t xml:space="preserve"> 2022 (Scrutiny</w:t>
            </w:r>
            <w:r>
              <w:rPr>
                <w:rFonts w:ascii="Arial" w:hAnsi="Arial" w:cs="Arial"/>
                <w:b/>
                <w:szCs w:val="20"/>
                <w:lang w:eastAsia="en-US"/>
              </w:rPr>
              <w:t>)</w:t>
            </w:r>
          </w:p>
        </w:tc>
        <w:tc>
          <w:tcPr>
            <w:tcW w:w="3180" w:type="dxa"/>
            <w:gridSpan w:val="3"/>
            <w:vAlign w:val="center"/>
          </w:tcPr>
          <w:p w14:paraId="6F890B5F" w14:textId="77777777" w:rsidR="00ED20C9" w:rsidRPr="001F515A" w:rsidRDefault="00ED20C9" w:rsidP="001F515A">
            <w:pPr>
              <w:rPr>
                <w:rFonts w:ascii="Arial" w:hAnsi="Arial" w:cs="Arial"/>
                <w:b/>
                <w:bCs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14. Date reported to City Executive Board:</w:t>
            </w:r>
          </w:p>
        </w:tc>
        <w:tc>
          <w:tcPr>
            <w:tcW w:w="2799" w:type="dxa"/>
            <w:gridSpan w:val="2"/>
            <w:vAlign w:val="center"/>
          </w:tcPr>
          <w:p w14:paraId="6F890B60" w14:textId="14C2F1EF" w:rsidR="00ED20C9" w:rsidRPr="001F515A" w:rsidRDefault="00C04F0E" w:rsidP="00760DAE">
            <w:pPr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eastAsia="en-US"/>
              </w:rPr>
              <w:t>June 15 2022</w:t>
            </w:r>
          </w:p>
        </w:tc>
        <w:tc>
          <w:tcPr>
            <w:tcW w:w="2409" w:type="dxa"/>
            <w:vAlign w:val="center"/>
          </w:tcPr>
          <w:p w14:paraId="6F890B61" w14:textId="77777777" w:rsidR="00ED20C9" w:rsidRPr="001F515A" w:rsidRDefault="00ED20C9" w:rsidP="001F515A">
            <w:pPr>
              <w:rPr>
                <w:rFonts w:ascii="Arial" w:hAnsi="Arial" w:cs="Arial"/>
                <w:b/>
                <w:szCs w:val="20"/>
                <w:lang w:eastAsia="en-US"/>
              </w:rPr>
            </w:pPr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12. The date the report on </w:t>
            </w:r>
            <w:proofErr w:type="spellStart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>EqIA</w:t>
            </w:r>
            <w:proofErr w:type="spellEnd"/>
            <w:r w:rsidRPr="001F515A">
              <w:rPr>
                <w:rFonts w:ascii="Arial" w:hAnsi="Arial" w:cs="Arial"/>
                <w:b/>
                <w:szCs w:val="20"/>
                <w:lang w:eastAsia="en-US"/>
              </w:rPr>
              <w:t xml:space="preserve"> will be published</w:t>
            </w:r>
          </w:p>
        </w:tc>
        <w:tc>
          <w:tcPr>
            <w:tcW w:w="1418" w:type="dxa"/>
            <w:vAlign w:val="center"/>
          </w:tcPr>
          <w:p w14:paraId="6F890B62" w14:textId="548CDF57" w:rsidR="00ED20C9" w:rsidRPr="001F515A" w:rsidRDefault="00ED20C9" w:rsidP="00760DAE">
            <w:pPr>
              <w:rPr>
                <w:rFonts w:ascii="Arial" w:hAnsi="Arial" w:cs="Arial"/>
                <w:szCs w:val="20"/>
                <w:lang w:eastAsia="en-US"/>
              </w:rPr>
            </w:pPr>
          </w:p>
        </w:tc>
      </w:tr>
    </w:tbl>
    <w:p w14:paraId="6F890B64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6F890B65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  <w:r w:rsidRPr="001F515A">
        <w:rPr>
          <w:rFonts w:ascii="Arial" w:hAnsi="Arial" w:cs="Arial"/>
          <w:szCs w:val="20"/>
          <w:lang w:eastAsia="en-US"/>
        </w:rPr>
        <w:t>Signed (completing officer)</w:t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</w:r>
      <w:r w:rsidRPr="001F515A">
        <w:rPr>
          <w:rFonts w:ascii="Arial" w:hAnsi="Arial" w:cs="Arial"/>
          <w:szCs w:val="20"/>
          <w:lang w:eastAsia="en-US"/>
        </w:rPr>
        <w:tab/>
        <w:t>Signed (Lead Officer)</w:t>
      </w:r>
    </w:p>
    <w:p w14:paraId="6F890B66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6F890B67" w14:textId="77777777" w:rsidR="001F515A" w:rsidRPr="001F515A" w:rsidRDefault="001F515A" w:rsidP="001F515A">
      <w:pPr>
        <w:keepNext/>
        <w:spacing w:before="240" w:after="60"/>
        <w:outlineLvl w:val="0"/>
        <w:rPr>
          <w:rFonts w:ascii="Arial" w:hAnsi="Arial"/>
          <w:b/>
          <w:kern w:val="32"/>
          <w:sz w:val="32"/>
          <w:szCs w:val="20"/>
          <w:lang w:eastAsia="en-US"/>
        </w:rPr>
      </w:pPr>
      <w:r w:rsidRPr="001F515A">
        <w:rPr>
          <w:rFonts w:ascii="Arial" w:hAnsi="Arial"/>
          <w:b/>
          <w:kern w:val="32"/>
          <w:sz w:val="32"/>
          <w:szCs w:val="20"/>
          <w:lang w:eastAsia="en-US"/>
        </w:rPr>
        <w:t>Please list the team members and service areas that were involved in this process:</w:t>
      </w:r>
    </w:p>
    <w:p w14:paraId="6F890B68" w14:textId="77777777" w:rsidR="001F515A" w:rsidRPr="001F515A" w:rsidRDefault="001F515A" w:rsidP="001F515A">
      <w:pPr>
        <w:rPr>
          <w:rFonts w:ascii="Arial" w:hAnsi="Arial" w:cs="Arial"/>
          <w:szCs w:val="20"/>
          <w:lang w:eastAsia="en-US"/>
        </w:rPr>
      </w:pPr>
    </w:p>
    <w:p w14:paraId="6F890B69" w14:textId="55719352" w:rsidR="001F515A" w:rsidRPr="00A5175C" w:rsidRDefault="00C04F0E" w:rsidP="001F515A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Policy and Consultations Officers</w:t>
      </w:r>
    </w:p>
    <w:p w14:paraId="3678260B" w14:textId="77777777" w:rsidR="00C04F0E" w:rsidRDefault="00C04F0E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Head of Service</w:t>
      </w:r>
    </w:p>
    <w:p w14:paraId="6F890B6B" w14:textId="3A5831D0" w:rsidR="00817AC6" w:rsidRPr="00A5175C" w:rsidRDefault="003C118C" w:rsidP="00B21479">
      <w:pPr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Legal Services</w:t>
      </w:r>
      <w:r w:rsidR="009138E4">
        <w:rPr>
          <w:rFonts w:ascii="Arial" w:hAnsi="Arial" w:cs="Arial"/>
          <w:szCs w:val="20"/>
          <w:lang w:eastAsia="en-US"/>
        </w:rPr>
        <w:t xml:space="preserve"> Manager</w:t>
      </w:r>
    </w:p>
    <w:p w14:paraId="6F890B6C" w14:textId="77777777" w:rsidR="00817AC6" w:rsidRDefault="00817AC6" w:rsidP="00B21479"/>
    <w:p w14:paraId="6F890B6D" w14:textId="77777777" w:rsidR="00C521F6" w:rsidRPr="003814CE" w:rsidRDefault="00C521F6" w:rsidP="00C521F6">
      <w:pPr>
        <w:ind w:left="426" w:hanging="426"/>
        <w:rPr>
          <w:b/>
        </w:rPr>
      </w:pPr>
      <w:r w:rsidRPr="003814CE">
        <w:rPr>
          <w:b/>
        </w:rPr>
        <w:br/>
      </w:r>
    </w:p>
    <w:p w14:paraId="6F890B6E" w14:textId="77777777" w:rsidR="00B21479" w:rsidRPr="008A22C6" w:rsidRDefault="00B21479" w:rsidP="00B21479"/>
    <w:sectPr w:rsidR="00B21479" w:rsidRPr="008A22C6" w:rsidSect="001F51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0B74" w14:textId="77777777" w:rsidR="007F6D43" w:rsidRDefault="007F6D43" w:rsidP="00B21479">
      <w:r>
        <w:separator/>
      </w:r>
    </w:p>
  </w:endnote>
  <w:endnote w:type="continuationSeparator" w:id="0">
    <w:p w14:paraId="6F890B75" w14:textId="77777777" w:rsidR="007F6D43" w:rsidRDefault="007F6D43" w:rsidP="00B2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8" w14:textId="77777777" w:rsidR="00B21479" w:rsidRDefault="00B21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9" w14:textId="77777777" w:rsidR="00B21479" w:rsidRPr="000B0D2A" w:rsidRDefault="00B21479" w:rsidP="000B0D2A">
    <w:pPr>
      <w:pStyle w:val="Footer"/>
      <w:tabs>
        <w:tab w:val="left" w:pos="4111"/>
      </w:tabs>
      <w:rPr>
        <w:rFonts w:ascii="Arial" w:hAnsi="Arial" w:cs="Arial"/>
        <w:sz w:val="20"/>
        <w:szCs w:val="20"/>
      </w:rPr>
    </w:pPr>
    <w:r w:rsidRPr="000B0D2A">
      <w:rPr>
        <w:rFonts w:ascii="Arial" w:hAnsi="Arial" w:cs="Arial"/>
        <w:sz w:val="20"/>
        <w:szCs w:val="20"/>
      </w:rPr>
      <w:t>HR&amp;F</w:t>
    </w:r>
    <w:r w:rsidR="009344AE" w:rsidRPr="000B0D2A">
      <w:rPr>
        <w:rFonts w:ascii="Arial" w:hAnsi="Arial" w:cs="Arial"/>
        <w:sz w:val="20"/>
        <w:szCs w:val="20"/>
      </w:rPr>
      <w:t>3</w:t>
    </w:r>
    <w:r w:rsidR="001F515A">
      <w:rPr>
        <w:rFonts w:ascii="Arial" w:hAnsi="Arial" w:cs="Arial"/>
        <w:sz w:val="20"/>
        <w:szCs w:val="20"/>
      </w:rPr>
      <w:t>028   Version: v1.0</w:t>
    </w:r>
    <w:r w:rsidRPr="000B0D2A">
      <w:rPr>
        <w:rFonts w:ascii="Arial" w:hAnsi="Arial" w:cs="Arial"/>
        <w:sz w:val="20"/>
        <w:szCs w:val="20"/>
      </w:rPr>
      <w:t xml:space="preserve">    Dated: </w:t>
    </w:r>
    <w:r w:rsidR="001F515A">
      <w:rPr>
        <w:rFonts w:ascii="Arial" w:hAnsi="Arial" w:cs="Arial"/>
        <w:sz w:val="20"/>
        <w:szCs w:val="20"/>
      </w:rPr>
      <w:t>08/08/14</w:t>
    </w:r>
    <w:r w:rsidR="001F515A">
      <w:rPr>
        <w:rFonts w:ascii="Arial" w:hAnsi="Arial" w:cs="Arial"/>
        <w:sz w:val="20"/>
        <w:szCs w:val="20"/>
      </w:rPr>
      <w:tab/>
      <w:t xml:space="preserve">          Authorised by: Jarlath Brine</w:t>
    </w:r>
    <w:r w:rsidRPr="000B0D2A">
      <w:rPr>
        <w:rFonts w:ascii="Arial" w:hAnsi="Arial" w:cs="Arial"/>
        <w:sz w:val="20"/>
        <w:szCs w:val="20"/>
      </w:rPr>
      <w:tab/>
      <w:t xml:space="preserve">Page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PAGE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9A5081">
      <w:rPr>
        <w:rFonts w:ascii="Arial" w:hAnsi="Arial" w:cs="Arial"/>
        <w:b/>
        <w:bCs/>
        <w:noProof/>
        <w:sz w:val="20"/>
        <w:szCs w:val="20"/>
      </w:rPr>
      <w:t>2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  <w:r w:rsidRPr="000B0D2A">
      <w:rPr>
        <w:rFonts w:ascii="Arial" w:hAnsi="Arial" w:cs="Arial"/>
        <w:sz w:val="20"/>
        <w:szCs w:val="20"/>
      </w:rPr>
      <w:t xml:space="preserve"> of </w:t>
    </w:r>
    <w:r w:rsidRPr="000B0D2A">
      <w:rPr>
        <w:rFonts w:ascii="Arial" w:hAnsi="Arial" w:cs="Arial"/>
        <w:b/>
        <w:bCs/>
        <w:sz w:val="20"/>
        <w:szCs w:val="20"/>
      </w:rPr>
      <w:fldChar w:fldCharType="begin"/>
    </w:r>
    <w:r w:rsidRPr="000B0D2A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0B0D2A">
      <w:rPr>
        <w:rFonts w:ascii="Arial" w:hAnsi="Arial" w:cs="Arial"/>
        <w:b/>
        <w:bCs/>
        <w:sz w:val="20"/>
        <w:szCs w:val="20"/>
      </w:rPr>
      <w:fldChar w:fldCharType="separate"/>
    </w:r>
    <w:r w:rsidR="009A5081">
      <w:rPr>
        <w:rFonts w:ascii="Arial" w:hAnsi="Arial" w:cs="Arial"/>
        <w:b/>
        <w:bCs/>
        <w:noProof/>
        <w:sz w:val="20"/>
        <w:szCs w:val="20"/>
      </w:rPr>
      <w:t>5</w:t>
    </w:r>
    <w:r w:rsidRPr="000B0D2A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B" w14:textId="77777777" w:rsidR="00B21479" w:rsidRDefault="00B21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90B72" w14:textId="77777777" w:rsidR="007F6D43" w:rsidRDefault="007F6D43" w:rsidP="00B21479">
      <w:r>
        <w:separator/>
      </w:r>
    </w:p>
  </w:footnote>
  <w:footnote w:type="continuationSeparator" w:id="0">
    <w:p w14:paraId="6F890B73" w14:textId="77777777" w:rsidR="007F6D43" w:rsidRDefault="007F6D43" w:rsidP="00B2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6" w14:textId="77777777" w:rsidR="00B21479" w:rsidRDefault="00B21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7" w14:textId="77777777" w:rsidR="00B21479" w:rsidRDefault="00B21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90B7A" w14:textId="77777777" w:rsidR="00B21479" w:rsidRDefault="00B21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35D"/>
    <w:multiLevelType w:val="hybridMultilevel"/>
    <w:tmpl w:val="1E0AD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C11"/>
    <w:multiLevelType w:val="hybridMultilevel"/>
    <w:tmpl w:val="2798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A2DB7"/>
    <w:multiLevelType w:val="hybridMultilevel"/>
    <w:tmpl w:val="1DFC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137E"/>
    <w:multiLevelType w:val="hybridMultilevel"/>
    <w:tmpl w:val="D4EC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11971"/>
    <w:multiLevelType w:val="multilevel"/>
    <w:tmpl w:val="4052F6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E47892"/>
    <w:multiLevelType w:val="hybridMultilevel"/>
    <w:tmpl w:val="83BC2B6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FAF4413"/>
    <w:multiLevelType w:val="hybridMultilevel"/>
    <w:tmpl w:val="AE8A5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3B"/>
    <w:rsid w:val="00041903"/>
    <w:rsid w:val="0006524C"/>
    <w:rsid w:val="00080850"/>
    <w:rsid w:val="000864FA"/>
    <w:rsid w:val="000B0D2A"/>
    <w:rsid w:val="000B4310"/>
    <w:rsid w:val="000F3BAB"/>
    <w:rsid w:val="00111DE0"/>
    <w:rsid w:val="00120373"/>
    <w:rsid w:val="00142786"/>
    <w:rsid w:val="00153E45"/>
    <w:rsid w:val="001F515A"/>
    <w:rsid w:val="00215A4A"/>
    <w:rsid w:val="0023354C"/>
    <w:rsid w:val="00235F04"/>
    <w:rsid w:val="00262814"/>
    <w:rsid w:val="002C293A"/>
    <w:rsid w:val="002D3056"/>
    <w:rsid w:val="00350A6B"/>
    <w:rsid w:val="00376912"/>
    <w:rsid w:val="003B0061"/>
    <w:rsid w:val="003C118C"/>
    <w:rsid w:val="004000D7"/>
    <w:rsid w:val="00475E86"/>
    <w:rsid w:val="004A0B51"/>
    <w:rsid w:val="00504E43"/>
    <w:rsid w:val="005129A5"/>
    <w:rsid w:val="0054009D"/>
    <w:rsid w:val="005448C4"/>
    <w:rsid w:val="005973F9"/>
    <w:rsid w:val="005E2614"/>
    <w:rsid w:val="00657158"/>
    <w:rsid w:val="0068274C"/>
    <w:rsid w:val="007070ED"/>
    <w:rsid w:val="00760DAE"/>
    <w:rsid w:val="007908F4"/>
    <w:rsid w:val="007974F6"/>
    <w:rsid w:val="007F6D43"/>
    <w:rsid w:val="0080343B"/>
    <w:rsid w:val="008117F2"/>
    <w:rsid w:val="00817AC6"/>
    <w:rsid w:val="00880CE5"/>
    <w:rsid w:val="008878A1"/>
    <w:rsid w:val="008A22C6"/>
    <w:rsid w:val="009138E4"/>
    <w:rsid w:val="009344AE"/>
    <w:rsid w:val="00944A56"/>
    <w:rsid w:val="00963B3C"/>
    <w:rsid w:val="00983205"/>
    <w:rsid w:val="009A5081"/>
    <w:rsid w:val="009B4AC3"/>
    <w:rsid w:val="009D57BC"/>
    <w:rsid w:val="009F00B3"/>
    <w:rsid w:val="00A16355"/>
    <w:rsid w:val="00A5175C"/>
    <w:rsid w:val="00AE7473"/>
    <w:rsid w:val="00AF3669"/>
    <w:rsid w:val="00AF44D6"/>
    <w:rsid w:val="00B21479"/>
    <w:rsid w:val="00B51D02"/>
    <w:rsid w:val="00BC5611"/>
    <w:rsid w:val="00BC7A5C"/>
    <w:rsid w:val="00C04F0E"/>
    <w:rsid w:val="00C07F80"/>
    <w:rsid w:val="00C11DF7"/>
    <w:rsid w:val="00C521F6"/>
    <w:rsid w:val="00C54136"/>
    <w:rsid w:val="00C82A08"/>
    <w:rsid w:val="00CE1DAB"/>
    <w:rsid w:val="00CE7E7C"/>
    <w:rsid w:val="00D40A0A"/>
    <w:rsid w:val="00D55026"/>
    <w:rsid w:val="00DA4417"/>
    <w:rsid w:val="00DD6207"/>
    <w:rsid w:val="00E30FBF"/>
    <w:rsid w:val="00E411FE"/>
    <w:rsid w:val="00E44635"/>
    <w:rsid w:val="00E57103"/>
    <w:rsid w:val="00ED20C9"/>
    <w:rsid w:val="00F05530"/>
    <w:rsid w:val="00F849BF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90ADB"/>
  <w15:docId w15:val="{2F98C234-8664-407F-8BEA-C240CBCB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7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14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1479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79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1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479"/>
    <w:rPr>
      <w:rFonts w:ascii="Times New Roman" w:eastAsia="Times New Roman" w:hAnsi="Times New Roman" w:cs="Times New Roman"/>
      <w:lang w:eastAsia="en-GB"/>
    </w:rPr>
  </w:style>
  <w:style w:type="paragraph" w:customStyle="1" w:styleId="CharChar1CharCharCharCharCharCharChar">
    <w:name w:val="Char Char1 Char Char Char Char Char Char Char"/>
    <w:basedOn w:val="Normal"/>
    <w:rsid w:val="001F515A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C521F6"/>
    <w:pPr>
      <w:ind w:left="720"/>
      <w:contextualSpacing/>
    </w:pPr>
    <w:rPr>
      <w:rFonts w:ascii="Arial" w:eastAsiaTheme="minorHAnsi" w:hAnsi="Arial" w:cs="Arial"/>
      <w:lang w:eastAsia="en-US"/>
    </w:rPr>
  </w:style>
  <w:style w:type="table" w:styleId="TableGrid">
    <w:name w:val="Table Grid"/>
    <w:basedOn w:val="TableNormal"/>
    <w:uiPriority w:val="59"/>
    <w:rsid w:val="0094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yl.edmunds\AppData\Local\Microsoft\Windows\Temporary%20Internet%20Files\Content.Outlook\TI8ELTO0\Full%20Equalities%20Impact%20Assessment%20Form_3028_V1%2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3E2B40EE4B99233DA35941ABA9" ma:contentTypeVersion="10" ma:contentTypeDescription="Create a new document." ma:contentTypeScope="" ma:versionID="38b1035aa20c7e25a6a249c2c55016cd">
  <xsd:schema xmlns:xsd="http://www.w3.org/2001/XMLSchema" xmlns:xs="http://www.w3.org/2001/XMLSchema" xmlns:p="http://schemas.microsoft.com/office/2006/metadata/properties" xmlns:ns2="fdb8f1d2-729e-4e17-b922-d1876d49c6d9" targetNamespace="http://schemas.microsoft.com/office/2006/metadata/properties" ma:root="true" ma:fieldsID="37d5e34c32c15ea9f15eeef0f498b86d" ns2:_="">
    <xsd:import namespace="fdb8f1d2-729e-4e17-b922-d1876d49c6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f1d2-729e-4e17-b922-d1876d49c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1921-CB16-4090-B617-15A04DCA7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5A620-4B1D-453B-B3E8-7E96CA674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f1d2-729e-4e17-b922-d1876d49c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53B04-02CB-435C-A3F4-6E81D45CB56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8f1d2-729e-4e17-b922-d1876d49c6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654D17-5E22-4B8A-9841-0FE806EC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Equalities Impact Assessment Form_3028_V1 0</Template>
  <TotalTime>27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daryl.edmunds</dc:creator>
  <cp:lastModifiedBy>Peachey Matthew</cp:lastModifiedBy>
  <cp:revision>6</cp:revision>
  <dcterms:created xsi:type="dcterms:W3CDTF">2022-05-09T09:27:00Z</dcterms:created>
  <dcterms:modified xsi:type="dcterms:W3CDTF">2022-05-09T09:58:00Z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0x01010045D7BD3E2B40EE4B99233DA35941ABA9</vt:lpwstr>
  </property>
</Properties>
</file>